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ECA" w:rsidRDefault="00F16A75">
      <w:pPr>
        <w:tabs>
          <w:tab w:val="left" w:pos="1985"/>
        </w:tabs>
        <w:jc w:val="both"/>
        <w:rPr>
          <w:rFonts w:ascii="Arial" w:eastAsia="宋体" w:hAnsi="Arial" w:cs="Arial"/>
          <w:b/>
          <w:bCs/>
          <w:sz w:val="28"/>
          <w:lang w:val="en-US" w:eastAsia="zh-CN"/>
        </w:rPr>
      </w:pPr>
      <w:bookmarkStart w:id="0" w:name="_Hlk1045022"/>
      <w:r>
        <w:rPr>
          <w:rFonts w:ascii="Arial" w:hAnsi="Arial" w:cs="Arial"/>
          <w:b/>
          <w:bCs/>
          <w:sz w:val="28"/>
          <w:lang w:val="en-US"/>
        </w:rPr>
        <w:t>3GPP TSG RAN WG1 #114</w:t>
      </w:r>
      <w:r>
        <w:rPr>
          <w:rFonts w:ascii="Arial" w:eastAsia="宋体" w:hAnsi="Arial" w:cs="Arial" w:hint="eastAsia"/>
          <w:b/>
          <w:bCs/>
          <w:sz w:val="28"/>
          <w:lang w:val="en-US" w:eastAsia="zh-CN"/>
        </w:rPr>
        <w:t>bis</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w:t>
      </w:r>
      <w:r>
        <w:rPr>
          <w:rFonts w:ascii="Arial" w:eastAsia="宋体" w:hAnsi="Arial" w:cs="Arial" w:hint="eastAsia"/>
          <w:b/>
          <w:bCs/>
          <w:sz w:val="28"/>
          <w:lang w:val="en-US" w:eastAsia="zh-CN"/>
        </w:rPr>
        <w:t>309173</w:t>
      </w:r>
    </w:p>
    <w:p w:rsidR="00984ECA" w:rsidRDefault="00F16A75">
      <w:pPr>
        <w:tabs>
          <w:tab w:val="left" w:pos="1985"/>
        </w:tabs>
        <w:jc w:val="both"/>
        <w:rPr>
          <w:rFonts w:ascii="Arial" w:hAnsi="Arial" w:cs="Arial"/>
          <w:b/>
          <w:bCs/>
          <w:sz w:val="28"/>
          <w:lang w:val="en-US"/>
        </w:rPr>
      </w:pPr>
      <w:r>
        <w:rPr>
          <w:rFonts w:ascii="Arial" w:eastAsia="宋体" w:hAnsi="Arial" w:cs="Arial" w:hint="eastAsia"/>
          <w:b/>
          <w:bCs/>
          <w:sz w:val="28"/>
          <w:lang w:val="en-US" w:eastAsia="zh-CN"/>
        </w:rPr>
        <w:t>Xiamen</w:t>
      </w:r>
      <w:r>
        <w:rPr>
          <w:rFonts w:ascii="Arial" w:eastAsia="MS Mincho" w:hAnsi="Arial" w:cs="Arial"/>
          <w:b/>
          <w:bCs/>
          <w:sz w:val="28"/>
          <w:lang w:eastAsia="ja-JP"/>
        </w:rPr>
        <w:t xml:space="preserve">, </w:t>
      </w:r>
      <w:r>
        <w:rPr>
          <w:rFonts w:ascii="Arial" w:eastAsia="宋体" w:hAnsi="Arial" w:cs="Arial" w:hint="eastAsia"/>
          <w:b/>
          <w:bCs/>
          <w:sz w:val="28"/>
          <w:lang w:val="en-US" w:eastAsia="zh-CN"/>
        </w:rPr>
        <w:t>China</w:t>
      </w:r>
      <w:r>
        <w:rPr>
          <w:rFonts w:ascii="Arial" w:eastAsia="MS Mincho" w:hAnsi="Arial" w:cs="Arial"/>
          <w:b/>
          <w:bCs/>
          <w:sz w:val="28"/>
          <w:lang w:eastAsia="ja-JP"/>
        </w:rPr>
        <w:t xml:space="preserve">, </w:t>
      </w:r>
      <w:r>
        <w:rPr>
          <w:rFonts w:ascii="Arial" w:eastAsia="宋体" w:hAnsi="Arial" w:cs="Arial" w:hint="eastAsia"/>
          <w:b/>
          <w:bCs/>
          <w:sz w:val="28"/>
          <w:lang w:val="en-US" w:eastAsia="zh-CN"/>
        </w:rPr>
        <w:t>October</w:t>
      </w:r>
      <w:r>
        <w:rPr>
          <w:rFonts w:ascii="Arial" w:eastAsia="MS Mincho" w:hAnsi="Arial" w:cs="Arial"/>
          <w:b/>
          <w:bCs/>
          <w:sz w:val="28"/>
          <w:lang w:eastAsia="ja-JP"/>
        </w:rPr>
        <w:t xml:space="preserve"> </w:t>
      </w:r>
      <w:r>
        <w:rPr>
          <w:rFonts w:ascii="Arial" w:eastAsia="宋体" w:hAnsi="Arial" w:cs="Arial" w:hint="eastAsia"/>
          <w:b/>
          <w:bCs/>
          <w:sz w:val="28"/>
          <w:lang w:val="en-US" w:eastAsia="zh-CN"/>
        </w:rPr>
        <w:t>9</w:t>
      </w:r>
      <w:r>
        <w:rPr>
          <w:rFonts w:ascii="Arial" w:eastAsia="宋体" w:hAnsi="Arial" w:cs="Arial" w:hint="eastAsia"/>
          <w:b/>
          <w:bCs/>
          <w:sz w:val="28"/>
          <w:vertAlign w:val="superscript"/>
          <w:lang w:val="en-US" w:eastAsia="zh-CN"/>
        </w:rPr>
        <w:t>th</w:t>
      </w:r>
      <w:r>
        <w:rPr>
          <w:rFonts w:ascii="Arial" w:eastAsia="MS Mincho" w:hAnsi="Arial" w:cs="Arial"/>
          <w:b/>
          <w:bCs/>
          <w:sz w:val="28"/>
          <w:lang w:eastAsia="ja-JP"/>
        </w:rPr>
        <w:t xml:space="preserve"> – </w:t>
      </w:r>
      <w:r>
        <w:rPr>
          <w:rFonts w:ascii="Arial" w:eastAsia="宋体" w:hAnsi="Arial" w:cs="Arial" w:hint="eastAsia"/>
          <w:b/>
          <w:bCs/>
          <w:sz w:val="28"/>
          <w:lang w:val="en-US" w:eastAsia="zh-CN"/>
        </w:rPr>
        <w:t>October</w:t>
      </w:r>
      <w:r>
        <w:rPr>
          <w:rFonts w:ascii="Arial" w:eastAsia="MS Mincho" w:hAnsi="Arial" w:cs="Arial"/>
          <w:b/>
          <w:bCs/>
          <w:sz w:val="28"/>
          <w:lang w:eastAsia="ja-JP"/>
        </w:rPr>
        <w:t xml:space="preserve"> </w:t>
      </w:r>
      <w:r>
        <w:rPr>
          <w:rFonts w:ascii="Arial" w:eastAsia="宋体" w:hAnsi="Arial" w:cs="Arial" w:hint="eastAsia"/>
          <w:b/>
          <w:bCs/>
          <w:sz w:val="28"/>
          <w:lang w:val="en-US" w:eastAsia="zh-CN"/>
        </w:rPr>
        <w:t>13</w:t>
      </w:r>
      <w:r>
        <w:rPr>
          <w:rFonts w:ascii="Arial" w:eastAsia="宋体" w:hAnsi="Arial" w:cs="Arial" w:hint="eastAsia"/>
          <w:b/>
          <w:bCs/>
          <w:sz w:val="28"/>
          <w:vertAlign w:val="superscript"/>
          <w:lang w:val="en-US" w:eastAsia="zh-CN"/>
        </w:rPr>
        <w:t>rd</w:t>
      </w:r>
      <w:r>
        <w:rPr>
          <w:rFonts w:ascii="Arial" w:eastAsia="MS Mincho" w:hAnsi="Arial" w:cs="Arial"/>
          <w:b/>
          <w:bCs/>
          <w:sz w:val="28"/>
          <w:lang w:eastAsia="ja-JP"/>
        </w:rPr>
        <w:t>, 2023</w:t>
      </w:r>
    </w:p>
    <w:bookmarkEnd w:id="0"/>
    <w:p w:rsidR="00984ECA" w:rsidRDefault="00984ECA">
      <w:pPr>
        <w:tabs>
          <w:tab w:val="left" w:pos="1985"/>
        </w:tabs>
        <w:jc w:val="both"/>
        <w:rPr>
          <w:rFonts w:ascii="Arial" w:hAnsi="Arial" w:cs="Arial"/>
          <w:b/>
          <w:sz w:val="24"/>
          <w:szCs w:val="24"/>
        </w:rPr>
      </w:pPr>
    </w:p>
    <w:p w:rsidR="00984ECA" w:rsidRDefault="00F16A75">
      <w:pPr>
        <w:spacing w:after="60"/>
        <w:ind w:left="1985" w:hanging="1985"/>
        <w:rPr>
          <w:rFonts w:ascii="Arial" w:eastAsia="等线" w:hAnsi="Arial" w:cs="Arial"/>
          <w:bCs/>
          <w:lang w:val="en-US" w:eastAsia="zh-CN"/>
        </w:rPr>
      </w:pPr>
      <w:r>
        <w:rPr>
          <w:rFonts w:ascii="Arial" w:eastAsia="等线" w:hAnsi="Arial" w:cs="Arial"/>
          <w:b/>
        </w:rPr>
        <w:t>Title:</w:t>
      </w:r>
      <w:r>
        <w:rPr>
          <w:rFonts w:ascii="Arial" w:eastAsia="等线" w:hAnsi="Arial" w:cs="Arial"/>
          <w:b/>
        </w:rPr>
        <w:tab/>
      </w:r>
      <w:r>
        <w:rPr>
          <w:rFonts w:ascii="Arial" w:eastAsia="Malgun Gothic" w:hAnsi="Arial" w:cs="Arial"/>
          <w:bCs/>
          <w:lang w:eastAsia="ko-KR"/>
        </w:rPr>
        <w:t>Draft reply LS on XR capacity enhancement</w:t>
      </w:r>
    </w:p>
    <w:p w:rsidR="00984ECA" w:rsidRDefault="00F16A75">
      <w:pPr>
        <w:spacing w:after="60"/>
        <w:ind w:left="1985" w:hanging="1985"/>
        <w:rPr>
          <w:rFonts w:ascii="Arial" w:eastAsia="等线" w:hAnsi="Arial" w:cs="Arial"/>
          <w:bCs/>
        </w:rPr>
      </w:pPr>
      <w:r>
        <w:rPr>
          <w:rFonts w:ascii="Arial" w:eastAsia="等线" w:hAnsi="Arial" w:cs="Arial"/>
          <w:b/>
        </w:rPr>
        <w:t>Response to:</w:t>
      </w:r>
      <w:r>
        <w:rPr>
          <w:rFonts w:ascii="Arial" w:eastAsia="等线" w:hAnsi="Arial" w:cs="Arial"/>
          <w:bCs/>
        </w:rPr>
        <w:tab/>
      </w:r>
      <w:r>
        <w:rPr>
          <w:rFonts w:ascii="Arial" w:eastAsia="Malgun Gothic" w:hAnsi="Arial" w:cs="Arial" w:hint="eastAsia"/>
          <w:bCs/>
          <w:lang w:eastAsia="ko-KR"/>
        </w:rPr>
        <w:t>R1-2308825(R2-2309007)</w:t>
      </w:r>
    </w:p>
    <w:p w:rsidR="00984ECA" w:rsidRDefault="00F16A75">
      <w:pPr>
        <w:spacing w:after="60"/>
        <w:ind w:left="1985" w:hanging="1985"/>
        <w:rPr>
          <w:rFonts w:ascii="Arial" w:eastAsia="宋体" w:hAnsi="Arial" w:cs="Arial"/>
          <w:bCs/>
          <w:lang w:val="en-US" w:eastAsia="zh-CN"/>
        </w:rPr>
      </w:pPr>
      <w:r>
        <w:rPr>
          <w:rFonts w:ascii="Arial" w:eastAsia="等线" w:hAnsi="Arial" w:cs="Arial"/>
          <w:b/>
        </w:rPr>
        <w:t>Release:</w:t>
      </w:r>
      <w:r>
        <w:rPr>
          <w:rFonts w:ascii="Arial" w:eastAsia="等线" w:hAnsi="Arial" w:cs="Arial"/>
          <w:bCs/>
        </w:rPr>
        <w:tab/>
      </w:r>
      <w:r>
        <w:rPr>
          <w:rFonts w:ascii="Arial" w:hAnsi="Arial" w:cs="Arial"/>
          <w:bCs/>
        </w:rPr>
        <w:t>Release-1</w:t>
      </w:r>
      <w:r>
        <w:rPr>
          <w:rFonts w:ascii="Arial" w:eastAsia="宋体" w:hAnsi="Arial" w:cs="Arial" w:hint="eastAsia"/>
          <w:bCs/>
          <w:lang w:val="en-US" w:eastAsia="zh-CN"/>
        </w:rPr>
        <w:t>8</w:t>
      </w:r>
    </w:p>
    <w:p w:rsidR="00984ECA" w:rsidRDefault="00F16A75">
      <w:pPr>
        <w:spacing w:after="60"/>
        <w:ind w:left="1985" w:hanging="1985"/>
        <w:rPr>
          <w:rFonts w:ascii="Arial" w:hAnsi="Arial" w:cs="Arial"/>
          <w:bCs/>
        </w:rPr>
      </w:pPr>
      <w:r>
        <w:rPr>
          <w:rFonts w:ascii="Arial" w:eastAsia="等线" w:hAnsi="Arial" w:cs="Arial"/>
          <w:b/>
        </w:rPr>
        <w:t>Work Item:</w:t>
      </w:r>
      <w:r>
        <w:rPr>
          <w:rFonts w:ascii="Arial" w:eastAsia="等线" w:hAnsi="Arial" w:cs="Arial"/>
          <w:bCs/>
        </w:rPr>
        <w:tab/>
      </w:r>
      <w:proofErr w:type="spellStart"/>
      <w:r>
        <w:rPr>
          <w:rFonts w:ascii="Arial" w:eastAsia="等线" w:hAnsi="Arial" w:cs="Arial" w:hint="eastAsia"/>
          <w:bCs/>
        </w:rPr>
        <w:t>NR_XR_enh</w:t>
      </w:r>
      <w:proofErr w:type="spellEnd"/>
      <w:r>
        <w:rPr>
          <w:rFonts w:ascii="Arial" w:eastAsia="等线" w:hAnsi="Arial" w:cs="Arial" w:hint="eastAsia"/>
          <w:bCs/>
        </w:rPr>
        <w:t>-Core</w:t>
      </w:r>
    </w:p>
    <w:p w:rsidR="00984ECA" w:rsidRDefault="00984ECA">
      <w:pPr>
        <w:spacing w:after="60"/>
        <w:rPr>
          <w:rFonts w:ascii="Arial" w:eastAsia="等线" w:hAnsi="Arial" w:cs="Arial"/>
          <w:b/>
        </w:rPr>
      </w:pPr>
    </w:p>
    <w:p w:rsidR="00984ECA" w:rsidRDefault="00F16A75">
      <w:pPr>
        <w:spacing w:after="60"/>
        <w:ind w:left="1985" w:hanging="1985"/>
        <w:rPr>
          <w:rFonts w:ascii="Arial" w:eastAsia="等线" w:hAnsi="Arial" w:cs="Arial"/>
          <w:bCs/>
        </w:rPr>
      </w:pPr>
      <w:r>
        <w:rPr>
          <w:rFonts w:ascii="Arial" w:eastAsia="等线" w:hAnsi="Arial" w:cs="Arial"/>
          <w:b/>
        </w:rPr>
        <w:t>Source:</w:t>
      </w:r>
      <w:r>
        <w:rPr>
          <w:rFonts w:ascii="Arial" w:eastAsia="等线" w:hAnsi="Arial" w:cs="Arial"/>
          <w:bCs/>
        </w:rPr>
        <w:tab/>
      </w:r>
      <w:proofErr w:type="spellStart"/>
      <w:proofErr w:type="gramStart"/>
      <w:r>
        <w:rPr>
          <w:rFonts w:ascii="Arial" w:eastAsia="等线" w:hAnsi="Arial" w:cs="Arial" w:hint="eastAsia"/>
          <w:bCs/>
          <w:lang w:val="en-US" w:eastAsia="zh-CN"/>
        </w:rPr>
        <w:t>ZTE,Sanechips</w:t>
      </w:r>
      <w:proofErr w:type="spellEnd"/>
      <w:proofErr w:type="gramEnd"/>
      <w:r>
        <w:rPr>
          <w:rFonts w:ascii="Arial" w:eastAsia="Malgun Gothic" w:hAnsi="Arial" w:cs="Arial"/>
          <w:bCs/>
          <w:lang w:eastAsia="ko-KR"/>
        </w:rPr>
        <w:t xml:space="preserve"> [RAN1]</w:t>
      </w:r>
    </w:p>
    <w:p w:rsidR="00984ECA" w:rsidRDefault="00F16A75">
      <w:pPr>
        <w:spacing w:after="60"/>
        <w:ind w:left="1985" w:hanging="1985"/>
        <w:rPr>
          <w:rFonts w:ascii="Arial" w:eastAsia="等线" w:hAnsi="Arial" w:cs="Arial"/>
          <w:bCs/>
        </w:rPr>
      </w:pPr>
      <w:r>
        <w:rPr>
          <w:rFonts w:ascii="Arial" w:eastAsia="等线" w:hAnsi="Arial" w:cs="Arial"/>
          <w:b/>
        </w:rPr>
        <w:t>To:</w:t>
      </w:r>
      <w:r>
        <w:rPr>
          <w:rFonts w:ascii="Arial" w:eastAsia="等线" w:hAnsi="Arial" w:cs="Arial"/>
          <w:bCs/>
        </w:rPr>
        <w:tab/>
      </w:r>
      <w:r>
        <w:rPr>
          <w:rFonts w:ascii="Arial" w:eastAsia="等线" w:hAnsi="Arial" w:cs="Arial"/>
          <w:bCs/>
        </w:rPr>
        <w:t>RAN2</w:t>
      </w:r>
    </w:p>
    <w:p w:rsidR="00984ECA" w:rsidRDefault="00984ECA">
      <w:pPr>
        <w:spacing w:after="60"/>
        <w:ind w:left="1985" w:hanging="1985"/>
        <w:rPr>
          <w:rFonts w:ascii="Arial" w:eastAsia="等线" w:hAnsi="Arial" w:cs="Arial"/>
          <w:b/>
          <w:sz w:val="16"/>
          <w:szCs w:val="16"/>
        </w:rPr>
      </w:pPr>
    </w:p>
    <w:p w:rsidR="00984ECA" w:rsidRDefault="00F16A75">
      <w:pPr>
        <w:spacing w:after="60"/>
        <w:ind w:left="1985" w:hanging="1985"/>
        <w:rPr>
          <w:rFonts w:ascii="Arial" w:eastAsia="等线" w:hAnsi="Arial" w:cs="Arial"/>
          <w:b/>
        </w:rPr>
      </w:pPr>
      <w:r>
        <w:rPr>
          <w:rFonts w:ascii="Arial" w:eastAsia="等线" w:hAnsi="Arial" w:cs="Arial"/>
          <w:b/>
        </w:rPr>
        <w:t>Contact person:</w:t>
      </w:r>
    </w:p>
    <w:p w:rsidR="00984ECA" w:rsidRDefault="00F16A75">
      <w:pPr>
        <w:spacing w:after="60"/>
        <w:ind w:left="1985" w:hanging="1445"/>
        <w:rPr>
          <w:rFonts w:ascii="Arial" w:eastAsia="等线" w:hAnsi="Arial" w:cs="Arial"/>
          <w:bCs/>
        </w:rPr>
      </w:pPr>
      <w:r>
        <w:rPr>
          <w:rFonts w:ascii="Arial" w:eastAsia="等线" w:hAnsi="Arial" w:cs="Arial"/>
          <w:b/>
        </w:rPr>
        <w:t>Name:</w:t>
      </w:r>
      <w:r>
        <w:rPr>
          <w:rFonts w:ascii="Arial" w:eastAsia="等线" w:hAnsi="Arial" w:cs="Arial"/>
          <w:bCs/>
        </w:rPr>
        <w:tab/>
      </w:r>
      <w:r>
        <w:rPr>
          <w:rFonts w:ascii="Arial" w:eastAsia="等线" w:hAnsi="Arial" w:cs="Arial"/>
          <w:bCs/>
        </w:rPr>
        <w:tab/>
      </w:r>
    </w:p>
    <w:p w:rsidR="00984ECA" w:rsidRDefault="00F16A75">
      <w:pPr>
        <w:spacing w:after="60"/>
        <w:ind w:left="1985" w:hanging="1445"/>
        <w:rPr>
          <w:rFonts w:ascii="Arial" w:eastAsia="等线" w:hAnsi="Arial" w:cs="Arial"/>
          <w:bCs/>
        </w:rPr>
      </w:pPr>
      <w:r>
        <w:rPr>
          <w:rFonts w:ascii="Arial" w:eastAsia="等线" w:hAnsi="Arial" w:cs="Arial"/>
          <w:b/>
        </w:rPr>
        <w:t>E-mail Address:</w:t>
      </w:r>
      <w:r>
        <w:rPr>
          <w:rFonts w:ascii="Arial" w:eastAsia="等线" w:hAnsi="Arial" w:cs="Arial"/>
          <w:bCs/>
        </w:rPr>
        <w:tab/>
      </w:r>
    </w:p>
    <w:p w:rsidR="00984ECA" w:rsidRDefault="00F16A75">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en-GB"/>
        </w:rPr>
      </w:pPr>
      <w:r>
        <w:rPr>
          <w:rFonts w:ascii="Arial" w:eastAsia="宋体" w:hAnsi="Arial" w:cs="Arial" w:hint="eastAsia"/>
          <w:sz w:val="32"/>
          <w:szCs w:val="36"/>
          <w:lang w:val="en-US" w:eastAsia="zh-CN"/>
        </w:rPr>
        <w:t>Overall description</w:t>
      </w:r>
    </w:p>
    <w:p w:rsidR="00984ECA" w:rsidRDefault="00F16A75">
      <w:pPr>
        <w:spacing w:afterLines="100" w:after="240"/>
        <w:jc w:val="both"/>
        <w:rPr>
          <w:lang w:eastAsia="zh-CN"/>
        </w:rPr>
      </w:pPr>
      <w:r>
        <w:rPr>
          <w:lang w:eastAsia="zh-CN"/>
        </w:rPr>
        <w:t xml:space="preserve">RAN1 thanks RAN2 for </w:t>
      </w:r>
      <w:r>
        <w:rPr>
          <w:rFonts w:hint="eastAsia"/>
          <w:lang w:val="en-US" w:eastAsia="zh-CN"/>
        </w:rPr>
        <w:t xml:space="preserve">the </w:t>
      </w:r>
      <w:r>
        <w:rPr>
          <w:lang w:eastAsia="zh-CN"/>
        </w:rPr>
        <w:t xml:space="preserve">reply LS on </w:t>
      </w:r>
      <w:r>
        <w:rPr>
          <w:rFonts w:hint="eastAsia"/>
          <w:lang w:eastAsia="zh-CN"/>
        </w:rPr>
        <w:t>XR capacity enhancements</w:t>
      </w:r>
      <w:r>
        <w:rPr>
          <w:lang w:eastAsia="zh-CN"/>
        </w:rPr>
        <w:t xml:space="preserve">, and would like to provide feedback regarding the following </w:t>
      </w:r>
      <w:r>
        <w:rPr>
          <w:rFonts w:hint="eastAsia"/>
          <w:lang w:val="en-US" w:eastAsia="zh-CN"/>
        </w:rPr>
        <w:t>question</w:t>
      </w:r>
      <w:r>
        <w:rPr>
          <w:lang w:eastAsia="zh-CN"/>
        </w:rPr>
        <w:t>:</w:t>
      </w:r>
    </w:p>
    <w:tbl>
      <w:tblPr>
        <w:tblStyle w:val="af2"/>
        <w:tblW w:w="9559" w:type="dxa"/>
        <w:tblLook w:val="04A0" w:firstRow="1" w:lastRow="0" w:firstColumn="1" w:lastColumn="0" w:noHBand="0" w:noVBand="1"/>
      </w:tblPr>
      <w:tblGrid>
        <w:gridCol w:w="9559"/>
      </w:tblGrid>
      <w:tr w:rsidR="00984ECA">
        <w:trPr>
          <w:trHeight w:val="272"/>
        </w:trPr>
        <w:tc>
          <w:tcPr>
            <w:tcW w:w="9559" w:type="dxa"/>
          </w:tcPr>
          <w:p w:rsidR="00984ECA" w:rsidRDefault="00F16A75">
            <w:pPr>
              <w:spacing w:afterLines="50" w:after="120"/>
              <w:rPr>
                <w:rFonts w:eastAsiaTheme="minorEastAsia"/>
                <w:sz w:val="21"/>
                <w:szCs w:val="21"/>
                <w:lang w:eastAsia="ja-JP"/>
              </w:rPr>
            </w:pPr>
            <w:r>
              <w:t xml:space="preserve">RAN2 would respectfully request RAN1 to capture the </w:t>
            </w:r>
            <w:r>
              <w:t>definition of an invalid CG PUSCH as below, and would also like to know where the definition will be captured in the RAN1 specifications (so that RAN2 specifications can refer to that definition)</w:t>
            </w:r>
          </w:p>
        </w:tc>
      </w:tr>
    </w:tbl>
    <w:p w:rsidR="00984ECA" w:rsidRDefault="00984ECA">
      <w:pPr>
        <w:jc w:val="both"/>
        <w:rPr>
          <w:lang w:eastAsia="zh-CN"/>
        </w:rPr>
      </w:pPr>
    </w:p>
    <w:p w:rsidR="00984ECA" w:rsidRDefault="00F16A75">
      <w:r>
        <w:rPr>
          <w:rFonts w:hint="eastAsia"/>
          <w:lang w:val="en-US" w:eastAsia="zh-CN"/>
        </w:rPr>
        <w:t>I</w:t>
      </w:r>
      <w:r>
        <w:rPr>
          <w:lang w:val="en-US"/>
        </w:rPr>
        <w:t xml:space="preserve">nvalid </w:t>
      </w:r>
      <w:r>
        <w:rPr>
          <w:lang w:val="en-US" w:eastAsia="ko-KR"/>
        </w:rPr>
        <w:t>configured PUSCH grant(s)</w:t>
      </w:r>
      <w:r>
        <w:rPr>
          <w:lang w:val="en-US"/>
        </w:rPr>
        <w:t xml:space="preserve"> that are not transmitted </w:t>
      </w:r>
      <w:r>
        <w:rPr>
          <w:rFonts w:hint="eastAsia"/>
          <w:lang w:val="en-US" w:eastAsia="zh-CN"/>
        </w:rPr>
        <w:t>is</w:t>
      </w:r>
      <w:r>
        <w:rPr>
          <w:lang w:val="en-US"/>
        </w:rPr>
        <w:t xml:space="preserve"> </w:t>
      </w:r>
      <w:r>
        <w:rPr>
          <w:rFonts w:eastAsia="宋体" w:hint="eastAsia"/>
          <w:lang w:val="en-US" w:eastAsia="zh-CN"/>
        </w:rPr>
        <w:t xml:space="preserve">captured </w:t>
      </w:r>
      <w:r>
        <w:rPr>
          <w:lang w:val="en-US"/>
        </w:rPr>
        <w:t xml:space="preserve">in clause 11.1 </w:t>
      </w:r>
      <w:r>
        <w:rPr>
          <w:rFonts w:eastAsia="宋体" w:hint="eastAsia"/>
          <w:lang w:val="en-US" w:eastAsia="zh-CN"/>
        </w:rPr>
        <w:t xml:space="preserve">in </w:t>
      </w:r>
      <w:r>
        <w:rPr>
          <w:lang w:val="en-US"/>
        </w:rPr>
        <w:t>TS 38.213</w:t>
      </w:r>
      <w:r>
        <w:rPr>
          <w:rFonts w:eastAsia="宋体" w:hint="eastAsia"/>
          <w:lang w:val="en-US" w:eastAsia="zh-CN"/>
        </w:rPr>
        <w:t>, clause 6.1 in TS 38.214 and clause 6.1.2.3 in TS 38.214</w:t>
      </w:r>
      <w:r>
        <w:rPr>
          <w:lang w:val="en-US"/>
        </w:rPr>
        <w:t>.</w:t>
      </w:r>
    </w:p>
    <w:p w:rsidR="00984ECA" w:rsidRDefault="00984ECA"/>
    <w:tbl>
      <w:tblPr>
        <w:tblStyle w:val="af2"/>
        <w:tblW w:w="0" w:type="auto"/>
        <w:tblLook w:val="04A0" w:firstRow="1" w:lastRow="0" w:firstColumn="1" w:lastColumn="0" w:noHBand="0" w:noVBand="1"/>
      </w:tblPr>
      <w:tblGrid>
        <w:gridCol w:w="9629"/>
      </w:tblGrid>
      <w:tr w:rsidR="00984ECA">
        <w:tc>
          <w:tcPr>
            <w:tcW w:w="9855" w:type="dxa"/>
          </w:tcPr>
          <w:p w:rsidR="00984ECA" w:rsidRDefault="00F16A75">
            <w:pPr>
              <w:pStyle w:val="1"/>
              <w:rPr>
                <w:rFonts w:eastAsia="宋体"/>
                <w:color w:val="000000"/>
                <w:lang w:val="en-US" w:eastAsia="zh-CN"/>
              </w:rPr>
            </w:pPr>
            <w:r>
              <w:rPr>
                <w:rFonts w:eastAsia="宋体" w:hint="eastAsia"/>
                <w:color w:val="000000"/>
                <w:lang w:val="en-US" w:eastAsia="zh-CN"/>
              </w:rPr>
              <w:t>TS 38.213</w:t>
            </w:r>
          </w:p>
          <w:p w:rsidR="00984ECA" w:rsidRDefault="00F16A75">
            <w:pPr>
              <w:pStyle w:val="1"/>
              <w:rPr>
                <w:color w:val="000000"/>
                <w:lang w:val="en-US" w:eastAsia="zh-CN"/>
              </w:rPr>
            </w:pPr>
            <w:r>
              <w:rPr>
                <w:color w:val="000000"/>
                <w:lang w:val="en-US" w:eastAsia="zh-CN"/>
              </w:rPr>
              <w:t xml:space="preserve">11 </w:t>
            </w:r>
            <w:r>
              <w:rPr>
                <w:color w:val="000000"/>
                <w:lang w:eastAsia="ja-JP"/>
              </w:rPr>
              <w:t xml:space="preserve">UE-group common </w:t>
            </w:r>
            <w:proofErr w:type="spellStart"/>
            <w:r>
              <w:rPr>
                <w:color w:val="000000"/>
                <w:lang w:eastAsia="ja-JP"/>
              </w:rPr>
              <w:t>signallin</w:t>
            </w:r>
            <w:proofErr w:type="spellEnd"/>
            <w:r>
              <w:rPr>
                <w:color w:val="000000"/>
                <w:lang w:val="en-US" w:eastAsia="zh-CN"/>
              </w:rPr>
              <w:t>g</w:t>
            </w:r>
          </w:p>
          <w:p w:rsidR="00984ECA" w:rsidRDefault="00F16A75">
            <w:pPr>
              <w:pStyle w:val="2"/>
              <w:ind w:leftChars="154" w:left="1975" w:hangingChars="692" w:hanging="1667"/>
              <w:rPr>
                <w:color w:val="000000"/>
                <w:lang w:val="en-US" w:eastAsia="zh-CN"/>
              </w:rPr>
            </w:pPr>
            <w:r>
              <w:rPr>
                <w:color w:val="000000"/>
                <w:lang w:val="en-US" w:eastAsia="zh-CN"/>
              </w:rPr>
              <w:t>1</w:t>
            </w:r>
            <w:r>
              <w:rPr>
                <w:color w:val="000000"/>
                <w:lang w:eastAsia="zh-CN"/>
              </w:rPr>
              <w:t>1.1</w:t>
            </w:r>
            <w:r>
              <w:rPr>
                <w:color w:val="000000"/>
                <w:lang w:val="en-US" w:eastAsia="zh-CN"/>
              </w:rPr>
              <w:t xml:space="preserve"> </w:t>
            </w:r>
            <w:r>
              <w:rPr>
                <w:color w:val="000000"/>
                <w:lang w:eastAsia="zh-CN"/>
              </w:rPr>
              <w:t>Slot configuration</w:t>
            </w:r>
          </w:p>
          <w:p w:rsidR="00984ECA" w:rsidRDefault="00F16A75">
            <w:r>
              <w:t xml:space="preserve">For a set of symbols of a slot that are indicated to a UE as downlink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the UE does not transmit PUSCH, PUCCH, PRACH, or SRS </w:t>
            </w:r>
            <w:r>
              <w:rPr>
                <w:rFonts w:eastAsia="等线"/>
              </w:rPr>
              <w:t>when the PUSCH, PUCCH, PRACH, or SRS overlaps, even partially,</w:t>
            </w:r>
            <w:r>
              <w:rPr>
                <w:rFonts w:eastAsia="等线"/>
              </w:rPr>
              <w:t xml:space="preserve"> with</w:t>
            </w:r>
            <w:r>
              <w:t xml:space="preserve"> the set of symbols of the slot.</w:t>
            </w:r>
          </w:p>
          <w:p w:rsidR="00984ECA" w:rsidRDefault="00984ECA">
            <w:pPr>
              <w:rPr>
                <w:rFonts w:eastAsia="宋体"/>
                <w:lang w:val="en-US" w:eastAsia="zh-CN"/>
              </w:rPr>
            </w:pPr>
          </w:p>
          <w:p w:rsidR="00984ECA" w:rsidRDefault="00F16A75">
            <w:pPr>
              <w:rPr>
                <w:lang w:val="en-US"/>
              </w:rPr>
            </w:pPr>
            <w:r>
              <w:t xml:space="preserve">For </w:t>
            </w:r>
            <w:r>
              <w:rPr>
                <w:lang w:val="fi-FI"/>
              </w:rPr>
              <w:t xml:space="preserve">operation on a single carrier in unpaired spectrum, for </w:t>
            </w:r>
            <w:r>
              <w:t xml:space="preserve">a set of symbols of a slot indicated to a UE for reception of SS/PBCH blocks by </w:t>
            </w:r>
            <w:proofErr w:type="spellStart"/>
            <w:r>
              <w:rPr>
                <w:i/>
              </w:rPr>
              <w:t>ssb-PositionsInBurst</w:t>
            </w:r>
            <w:proofErr w:type="spellEnd"/>
            <w:r>
              <w:t xml:space="preserve"> </w:t>
            </w:r>
            <w:r>
              <w:rPr>
                <w:lang w:val="en-US"/>
              </w:rPr>
              <w:t xml:space="preserve">in </w:t>
            </w:r>
            <w:r>
              <w:rPr>
                <w:i/>
              </w:rPr>
              <w:t>SIB1</w:t>
            </w:r>
            <w:r>
              <w:t xml:space="preserve"> or by </w:t>
            </w:r>
            <w:proofErr w:type="spellStart"/>
            <w:r>
              <w:rPr>
                <w:i/>
              </w:rPr>
              <w:t>ssb-PositionsInBurst</w:t>
            </w:r>
            <w:proofErr w:type="spellEnd"/>
            <w:r>
              <w:t xml:space="preserve"> </w:t>
            </w:r>
            <w:r>
              <w:rPr>
                <w:lang w:val="en-US"/>
              </w:rPr>
              <w:t xml:space="preserve">in </w:t>
            </w:r>
            <w:proofErr w:type="spellStart"/>
            <w:r>
              <w:rPr>
                <w:i/>
              </w:rPr>
              <w:t>ServingCellConfigC</w:t>
            </w:r>
            <w:r>
              <w:rPr>
                <w:i/>
              </w:rPr>
              <w:t>ommon</w:t>
            </w:r>
            <w:proofErr w:type="spellEnd"/>
            <w:r>
              <w:rPr>
                <w:iCs/>
              </w:rPr>
              <w:t xml:space="preserve"> or, </w:t>
            </w:r>
            <w:r>
              <w:t xml:space="preserve">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lang w:val="en-US"/>
              </w:rPr>
              <w:t>,</w:t>
            </w:r>
            <w:r>
              <w:rPr>
                <w:i/>
                <w:iCs/>
                <w:lang w:val="en-US"/>
              </w:rPr>
              <w:t xml:space="preserve"> </w:t>
            </w:r>
            <w:r>
              <w:t xml:space="preserve">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w:t>
            </w:r>
            <w:r>
              <w:t>red for L1 beam measurement/reporting,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w:t>
            </w:r>
            <w:r>
              <w:rPr>
                <w:lang w:val="en-US"/>
              </w:rPr>
              <w:t>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rsidR="00984ECA" w:rsidRDefault="00984ECA">
            <w:pPr>
              <w:rPr>
                <w:rFonts w:eastAsia="宋体"/>
                <w:lang w:val="en-US" w:eastAsia="zh-CN"/>
              </w:rPr>
            </w:pPr>
          </w:p>
        </w:tc>
      </w:tr>
    </w:tbl>
    <w:p w:rsidR="00984ECA" w:rsidRDefault="00984ECA"/>
    <w:p w:rsidR="00984ECA" w:rsidRDefault="00984ECA"/>
    <w:tbl>
      <w:tblPr>
        <w:tblStyle w:val="af2"/>
        <w:tblW w:w="0" w:type="auto"/>
        <w:tblLook w:val="04A0" w:firstRow="1" w:lastRow="0" w:firstColumn="1" w:lastColumn="0" w:noHBand="0" w:noVBand="1"/>
      </w:tblPr>
      <w:tblGrid>
        <w:gridCol w:w="9629"/>
      </w:tblGrid>
      <w:tr w:rsidR="00984ECA">
        <w:tc>
          <w:tcPr>
            <w:tcW w:w="9855" w:type="dxa"/>
          </w:tcPr>
          <w:p w:rsidR="00984ECA" w:rsidRDefault="00F16A75">
            <w:pPr>
              <w:pStyle w:val="1"/>
              <w:rPr>
                <w:rFonts w:eastAsia="宋体"/>
                <w:color w:val="000000"/>
                <w:lang w:val="en-US" w:eastAsia="zh-CN"/>
              </w:rPr>
            </w:pPr>
            <w:bookmarkStart w:id="1" w:name="_Toc20318027"/>
            <w:bookmarkStart w:id="2" w:name="_Toc29674332"/>
            <w:bookmarkStart w:id="3" w:name="_Toc11352137"/>
            <w:bookmarkStart w:id="4" w:name="_Toc130409809"/>
            <w:bookmarkStart w:id="5" w:name="_Toc29673198"/>
            <w:bookmarkStart w:id="6" w:name="_Toc29673339"/>
            <w:bookmarkStart w:id="7" w:name="_Toc27299925"/>
            <w:bookmarkStart w:id="8" w:name="_Toc45810607"/>
            <w:bookmarkStart w:id="9" w:name="_Toc36645562"/>
            <w:r>
              <w:rPr>
                <w:rFonts w:eastAsia="宋体" w:hint="eastAsia"/>
                <w:color w:val="000000"/>
                <w:lang w:val="en-US" w:eastAsia="zh-CN"/>
              </w:rPr>
              <w:lastRenderedPageBreak/>
              <w:t>TS 38.214</w:t>
            </w:r>
          </w:p>
          <w:p w:rsidR="00984ECA" w:rsidRDefault="00F16A75">
            <w:pPr>
              <w:pStyle w:val="1"/>
              <w:rPr>
                <w:color w:val="000000"/>
              </w:rPr>
            </w:pPr>
            <w:r>
              <w:rPr>
                <w:color w:val="000000"/>
              </w:rPr>
              <w:t>6</w:t>
            </w:r>
            <w:r>
              <w:rPr>
                <w:rFonts w:eastAsia="宋体" w:hint="eastAsia"/>
                <w:color w:val="000000"/>
                <w:lang w:val="en-US" w:eastAsia="zh-CN"/>
              </w:rPr>
              <w:t xml:space="preserve"> </w:t>
            </w:r>
            <w:r>
              <w:rPr>
                <w:color w:val="000000"/>
              </w:rPr>
              <w:t>Physical uplink shared channel related procedure</w:t>
            </w:r>
            <w:bookmarkEnd w:id="1"/>
            <w:bookmarkEnd w:id="2"/>
            <w:bookmarkEnd w:id="3"/>
            <w:bookmarkEnd w:id="4"/>
            <w:bookmarkEnd w:id="5"/>
            <w:bookmarkEnd w:id="6"/>
            <w:bookmarkEnd w:id="7"/>
            <w:bookmarkEnd w:id="8"/>
            <w:bookmarkEnd w:id="9"/>
          </w:p>
          <w:p w:rsidR="00984ECA" w:rsidRDefault="00F16A75">
            <w:pPr>
              <w:pStyle w:val="2"/>
              <w:ind w:leftChars="154" w:left="1975" w:hangingChars="692" w:hanging="1667"/>
              <w:rPr>
                <w:color w:val="000000"/>
              </w:rPr>
            </w:pPr>
            <w:bookmarkStart w:id="10" w:name="_Toc29674333"/>
            <w:bookmarkStart w:id="11" w:name="_Toc20318028"/>
            <w:bookmarkStart w:id="12" w:name="_Toc27299926"/>
            <w:bookmarkStart w:id="13" w:name="_Toc130409810"/>
            <w:bookmarkStart w:id="14" w:name="_Toc11352138"/>
            <w:bookmarkStart w:id="15" w:name="_Toc29673340"/>
            <w:bookmarkStart w:id="16" w:name="_Toc36645563"/>
            <w:bookmarkStart w:id="17" w:name="_Toc45810608"/>
            <w:bookmarkStart w:id="18" w:name="_Toc29673199"/>
            <w:r>
              <w:rPr>
                <w:color w:val="000000"/>
              </w:rPr>
              <w:t>6.1</w:t>
            </w:r>
            <w:r>
              <w:rPr>
                <w:rFonts w:eastAsia="宋体" w:hint="eastAsia"/>
                <w:color w:val="000000"/>
                <w:lang w:val="en-US" w:eastAsia="zh-CN"/>
              </w:rPr>
              <w:t xml:space="preserve"> </w:t>
            </w:r>
            <w:r>
              <w:rPr>
                <w:color w:val="000000"/>
              </w:rPr>
              <w:t xml:space="preserve">UE procedure for transmitting </w:t>
            </w:r>
            <w:r>
              <w:rPr>
                <w:color w:val="000000"/>
              </w:rPr>
              <w:t>the physical uplink shared channel</w:t>
            </w:r>
            <w:bookmarkEnd w:id="10"/>
            <w:bookmarkEnd w:id="11"/>
            <w:bookmarkEnd w:id="12"/>
            <w:bookmarkEnd w:id="13"/>
            <w:bookmarkEnd w:id="14"/>
            <w:bookmarkEnd w:id="15"/>
            <w:bookmarkEnd w:id="16"/>
            <w:bookmarkEnd w:id="17"/>
            <w:bookmarkEnd w:id="18"/>
          </w:p>
          <w:p w:rsidR="00984ECA" w:rsidRDefault="00F16A75">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proofErr w:type="spellStart"/>
            <w:r>
              <w:rPr>
                <w:i/>
                <w:iCs/>
                <w:color w:val="000000" w:themeColor="text1"/>
              </w:rPr>
              <w:t>tdd</w:t>
            </w:r>
            <w:proofErr w:type="spellEnd"/>
            <w:r>
              <w:rPr>
                <w:i/>
                <w:iCs/>
                <w:color w:val="000000" w:themeColor="text1"/>
              </w:rPr>
              <w:t>-UL-D</w:t>
            </w:r>
            <w:r>
              <w:rPr>
                <w:i/>
                <w:iCs/>
                <w:color w:val="000000" w:themeColor="text1"/>
              </w:rPr>
              <w:t>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rPr>
                <w:color w:val="000000" w:themeColor="text1"/>
              </w:rPr>
              <w:t>.</w:t>
            </w:r>
          </w:p>
        </w:tc>
      </w:tr>
    </w:tbl>
    <w:p w:rsidR="00984ECA" w:rsidRDefault="00984ECA"/>
    <w:p w:rsidR="00984ECA" w:rsidRDefault="00984ECA"/>
    <w:tbl>
      <w:tblPr>
        <w:tblStyle w:val="af2"/>
        <w:tblW w:w="0" w:type="auto"/>
        <w:tblLook w:val="04A0" w:firstRow="1" w:lastRow="0" w:firstColumn="1" w:lastColumn="0" w:noHBand="0" w:noVBand="1"/>
      </w:tblPr>
      <w:tblGrid>
        <w:gridCol w:w="9629"/>
      </w:tblGrid>
      <w:tr w:rsidR="00984ECA">
        <w:tc>
          <w:tcPr>
            <w:tcW w:w="9855" w:type="dxa"/>
          </w:tcPr>
          <w:p w:rsidR="00984ECA" w:rsidRDefault="00F16A75">
            <w:pPr>
              <w:pStyle w:val="1"/>
              <w:ind w:left="0" w:firstLine="0"/>
              <w:rPr>
                <w:color w:val="000000"/>
              </w:rPr>
            </w:pPr>
            <w:r>
              <w:rPr>
                <w:rFonts w:eastAsia="宋体" w:hint="eastAsia"/>
                <w:color w:val="000000"/>
                <w:lang w:val="en-US" w:eastAsia="zh-CN"/>
              </w:rPr>
              <w:t>TS 38.214</w:t>
            </w:r>
          </w:p>
          <w:p w:rsidR="00984ECA" w:rsidRDefault="00F16A75">
            <w:pPr>
              <w:pStyle w:val="1"/>
              <w:rPr>
                <w:color w:val="000000"/>
              </w:rPr>
            </w:pPr>
            <w:r>
              <w:rPr>
                <w:color w:val="000000"/>
              </w:rPr>
              <w:t>6</w:t>
            </w:r>
            <w:r>
              <w:rPr>
                <w:rFonts w:eastAsia="宋体" w:hint="eastAsia"/>
                <w:color w:val="000000"/>
                <w:lang w:val="en-US" w:eastAsia="zh-CN"/>
              </w:rPr>
              <w:t xml:space="preserve"> </w:t>
            </w:r>
            <w:r>
              <w:rPr>
                <w:color w:val="000000"/>
              </w:rPr>
              <w:t>Physical uplink shared channel related procedure</w:t>
            </w:r>
          </w:p>
          <w:p w:rsidR="00984ECA" w:rsidRDefault="00F16A75">
            <w:pPr>
              <w:pStyle w:val="2"/>
              <w:ind w:leftChars="154" w:left="1975" w:hangingChars="692" w:hanging="1667"/>
              <w:rPr>
                <w:rFonts w:eastAsia="宋体"/>
                <w:lang w:val="en-US" w:eastAsia="zh-CN"/>
              </w:rPr>
            </w:pPr>
            <w:r>
              <w:rPr>
                <w:color w:val="000000"/>
                <w:lang w:val="en-US" w:eastAsia="zh-CN"/>
              </w:rPr>
              <w:t xml:space="preserve">6.1.2.3.1 </w:t>
            </w:r>
            <w:r>
              <w:rPr>
                <w:color w:val="000000"/>
                <w:lang w:eastAsia="zh-CN"/>
              </w:rPr>
              <w:t xml:space="preserve">Transport Block repetition for </w:t>
            </w:r>
            <w:r>
              <w:rPr>
                <w:color w:val="000000"/>
                <w:lang w:eastAsia="zh-CN"/>
              </w:rPr>
              <w:t>uplink transmissions of PUSCH repetition Type A with a configured gran</w:t>
            </w:r>
            <w:r>
              <w:rPr>
                <w:color w:val="000000"/>
                <w:lang w:val="en-US" w:eastAsia="zh-CN"/>
              </w:rPr>
              <w:t>t</w:t>
            </w:r>
          </w:p>
          <w:p w:rsidR="00984ECA" w:rsidRDefault="00F16A7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rsidR="00984ECA" w:rsidRDefault="00F16A75">
            <w:pPr>
              <w:pStyle w:val="B1"/>
              <w:rPr>
                <w:rFonts w:ascii="Times New Roman" w:hAnsi="Times New Roman"/>
                <w:lang w:val="en-US"/>
              </w:rPr>
            </w:pPr>
            <w:r>
              <w:rPr>
                <w:rFonts w:ascii="Times New Roman" w:hAnsi="Times New Roman"/>
                <w:lang w:val="en-US"/>
              </w:rPr>
              <w:t>-</w:t>
            </w:r>
            <w:r>
              <w:rPr>
                <w:rFonts w:ascii="Times New Roman" w:hAnsi="Times New Roman"/>
                <w:lang w:val="en-US"/>
              </w:rPr>
              <w:tab/>
              <w:t>For unpaired spectrum:</w:t>
            </w:r>
          </w:p>
          <w:p w:rsidR="00984ECA" w:rsidRDefault="00F16A75">
            <w:pPr>
              <w:pStyle w:val="B2"/>
              <w:rPr>
                <w:lang w:val="en-US"/>
              </w:rPr>
            </w:pPr>
            <w:r>
              <w:rPr>
                <w:lang w:val="en-US"/>
              </w:rPr>
              <w:t>-</w:t>
            </w:r>
            <w:r>
              <w:rPr>
                <w:lang w:val="en-US"/>
              </w:rPr>
              <w:tab/>
              <w:t xml:space="preserve">If </w:t>
            </w:r>
            <w:proofErr w:type="spellStart"/>
            <w:r>
              <w:rPr>
                <w:i/>
                <w:iCs/>
                <w:lang w:val="en-US"/>
              </w:rPr>
              <w:t>AvailableSlotCounting</w:t>
            </w:r>
            <w:proofErr w:type="spellEnd"/>
            <w:r>
              <w:rPr>
                <w:i/>
                <w:iCs/>
                <w:lang w:val="en-US"/>
              </w:rPr>
              <w:t xml:space="preserve"> </w:t>
            </w:r>
            <w:r>
              <w:rPr>
                <w:lang w:val="en-US"/>
              </w:rPr>
              <w:t>is enabled, the UE shall repeat the TB across t</w:t>
            </w:r>
            <w:r>
              <w:rPr>
                <w:lang w:val="en-US"/>
              </w:rPr>
              <w:t xml:space="preserve">he </w:t>
            </w:r>
            <m:oMath>
              <m:r>
                <w:rPr>
                  <w:rFonts w:ascii="Cambria Math" w:hAnsi="Cambria Math"/>
                </w:rPr>
                <m:t>N</m:t>
              </m:r>
              <m:r>
                <w:rPr>
                  <w:rFonts w:ascii="Cambria Math" w:hAnsi="Cambria Math"/>
                  <w:lang w:val="en-US"/>
                </w:rPr>
                <m:t>∙</m:t>
              </m:r>
              <m:r>
                <w:rPr>
                  <w:rFonts w:ascii="Cambria Math" w:hAnsi="Cambria Math"/>
                </w:rPr>
                <m:t>K</m:t>
              </m:r>
            </m:oMath>
            <w:r>
              <w:rPr>
                <w:lang w:val="en-US"/>
              </w:rPr>
              <w:t xml:space="preserve"> slots determined for the PUSCH transmission applying the same symbol allocation in each slot.</w:t>
            </w:r>
          </w:p>
          <w:p w:rsidR="00984ECA" w:rsidRDefault="00F16A75">
            <w:pPr>
              <w:pStyle w:val="B3"/>
              <w:rPr>
                <w:rFonts w:eastAsia="宋体"/>
                <w:lang w:val="en-US" w:eastAsia="zh-CN"/>
              </w:rPr>
            </w:pPr>
            <w:r>
              <w:rPr>
                <w:lang w:val="en-US"/>
              </w:rPr>
              <w:t>-</w:t>
            </w:r>
            <w:r>
              <w:rPr>
                <w:lang w:val="en-US"/>
              </w:rPr>
              <w:tab/>
              <w:t xml:space="preserve">A </w:t>
            </w:r>
            <w:r>
              <w:rPr>
                <w:rFonts w:eastAsia="Batang"/>
                <w:kern w:val="24"/>
                <w:lang w:val="en-US"/>
              </w:rPr>
              <w:t xml:space="preserve">slot is not counted in the number of </w:t>
            </w:r>
            <m:oMath>
              <m:r>
                <w:rPr>
                  <w:rFonts w:ascii="Cambria Math" w:hAnsi="Cambria Math"/>
                </w:rPr>
                <m:t>N</m:t>
              </m:r>
              <m:r>
                <w:rPr>
                  <w:rFonts w:ascii="Cambria Math" w:hAnsi="Cambria Math"/>
                  <w:lang w:val="en-US"/>
                </w:rPr>
                <m:t>∙</m:t>
              </m:r>
              <m:r>
                <w:rPr>
                  <w:rFonts w:ascii="Cambria Math" w:hAnsi="Cambria Math"/>
                </w:rPr>
                <m:t>K</m:t>
              </m:r>
            </m:oMath>
            <w:r>
              <w:rPr>
                <w:lang w:val="en-US"/>
              </w:rPr>
              <w:t xml:space="preserve"> </w:t>
            </w:r>
            <w:r>
              <w:rPr>
                <w:rFonts w:eastAsia="Batang"/>
                <w:kern w:val="24"/>
                <w:lang w:val="en-US"/>
              </w:rPr>
              <w:t>slots</w:t>
            </w:r>
            <w:r>
              <w:rPr>
                <w:lang w:val="en-US"/>
              </w:rPr>
              <w:t xml:space="preserve"> if at least one of the symbols indicated by the indexed row of the used resource allocation table in</w:t>
            </w:r>
            <w:r>
              <w:rPr>
                <w:lang w:val="en-US"/>
              </w:rPr>
              <w:t xml:space="preserve"> the slot overlaps with a DL symbol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i/>
                <w:iCs/>
                <w:lang w:val="en-US"/>
              </w:rPr>
              <w:t xml:space="preserve"> </w:t>
            </w:r>
            <w:r>
              <w:rPr>
                <w:lang w:val="en-US"/>
              </w:rPr>
              <w:t xml:space="preserve">if provided, or a symbol of an SS/PBCH block with index provided by </w:t>
            </w:r>
            <w:proofErr w:type="spellStart"/>
            <w:r>
              <w:rPr>
                <w:i/>
                <w:iCs/>
                <w:lang w:val="en-US"/>
              </w:rPr>
              <w:t>ssb-PositionsInBurst</w:t>
            </w:r>
            <w:proofErr w:type="spellEnd"/>
            <w:r>
              <w:rPr>
                <w:lang w:val="en-US"/>
              </w:rPr>
              <w:t>.</w:t>
            </w:r>
          </w:p>
          <w:p w:rsidR="00984ECA" w:rsidRDefault="00984ECA">
            <w:pPr>
              <w:rPr>
                <w:rFonts w:eastAsia="宋体"/>
                <w:lang w:val="en-US" w:eastAsia="zh-CN"/>
              </w:rPr>
            </w:pPr>
          </w:p>
        </w:tc>
      </w:tr>
    </w:tbl>
    <w:p w:rsidR="00984ECA" w:rsidRDefault="00984ECA">
      <w:pPr>
        <w:rPr>
          <w:lang w:val="en-US" w:eastAsia="ko-KR"/>
        </w:rPr>
      </w:pPr>
    </w:p>
    <w:p w:rsidR="00984ECA" w:rsidRDefault="00F16A75">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zh-CN"/>
        </w:rPr>
      </w:pPr>
      <w:r>
        <w:rPr>
          <w:rFonts w:ascii="Arial" w:eastAsia="宋体" w:hAnsi="Arial" w:cs="Arial" w:hint="eastAsia"/>
          <w:sz w:val="32"/>
          <w:szCs w:val="36"/>
          <w:lang w:val="en-GB" w:eastAsia="zh-CN"/>
        </w:rPr>
        <w:t>Actions</w:t>
      </w:r>
    </w:p>
    <w:p w:rsidR="00984ECA" w:rsidRDefault="00F16A75">
      <w:pPr>
        <w:spacing w:after="180"/>
        <w:rPr>
          <w:rFonts w:eastAsia="宋体"/>
          <w:b/>
          <w:bCs/>
          <w:lang w:val="en-GB" w:eastAsia="zh-CN"/>
        </w:rPr>
      </w:pPr>
      <w:r>
        <w:rPr>
          <w:rFonts w:eastAsia="宋体"/>
          <w:b/>
          <w:bCs/>
          <w:lang w:val="en-GB" w:eastAsia="zh-CN"/>
        </w:rPr>
        <w:t>To: RAN2</w:t>
      </w:r>
    </w:p>
    <w:p w:rsidR="00984ECA" w:rsidRDefault="00F16A75">
      <w:pPr>
        <w:spacing w:after="180"/>
        <w:rPr>
          <w:rFonts w:eastAsia="宋体"/>
          <w:lang w:val="en-GB" w:eastAsia="zh-CN"/>
        </w:rPr>
      </w:pPr>
      <w:r>
        <w:rPr>
          <w:rFonts w:eastAsia="宋体"/>
          <w:b/>
          <w:bCs/>
          <w:lang w:val="en-GB" w:eastAsia="zh-CN"/>
        </w:rPr>
        <w:t>Action:</w:t>
      </w:r>
      <w:r>
        <w:rPr>
          <w:rFonts w:eastAsia="宋体"/>
          <w:lang w:val="en-GB" w:eastAsia="zh-CN"/>
        </w:rPr>
        <w:t xml:space="preserve"> RAN1 kindly asks RAN2 to take the above reply into account.</w:t>
      </w:r>
    </w:p>
    <w:p w:rsidR="00984ECA" w:rsidRDefault="00F16A75">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zh-CN"/>
        </w:rPr>
      </w:pPr>
      <w:bookmarkStart w:id="19" w:name="_Hlk4777878"/>
      <w:r>
        <w:rPr>
          <w:rFonts w:ascii="Arial" w:eastAsia="宋体" w:hAnsi="Arial" w:cs="Arial" w:hint="eastAsia"/>
          <w:sz w:val="32"/>
          <w:szCs w:val="36"/>
          <w:lang w:val="en-GB" w:eastAsia="zh-CN"/>
        </w:rPr>
        <w:t>Dates of Next TSG-RAN1 Meeting:</w:t>
      </w:r>
    </w:p>
    <w:bookmarkEnd w:id="19"/>
    <w:p w:rsidR="00984ECA" w:rsidRDefault="00F16A75">
      <w:pPr>
        <w:spacing w:after="180"/>
        <w:rPr>
          <w:rFonts w:eastAsia="宋体"/>
          <w:lang w:val="en-GB" w:eastAsia="zh-CN"/>
        </w:rPr>
      </w:pPr>
      <w:r>
        <w:rPr>
          <w:rFonts w:eastAsia="宋体"/>
          <w:lang w:val="en-GB" w:eastAsia="zh-CN"/>
        </w:rPr>
        <w:t>RAN1#115</w:t>
      </w:r>
      <w:r>
        <w:rPr>
          <w:rFonts w:eastAsia="宋体"/>
          <w:lang w:val="en-GB" w:eastAsia="zh-CN"/>
        </w:rPr>
        <w:tab/>
      </w:r>
      <w:r>
        <w:rPr>
          <w:rFonts w:eastAsia="宋体"/>
          <w:lang w:val="en-GB" w:eastAsia="zh-CN"/>
        </w:rPr>
        <w:tab/>
      </w:r>
      <w:r>
        <w:rPr>
          <w:rFonts w:eastAsia="宋体"/>
          <w:lang w:val="en-GB" w:eastAsia="zh-CN"/>
        </w:rPr>
        <w:tab/>
        <w:t>13 Nov – 17 Nov 2023</w:t>
      </w:r>
      <w:r>
        <w:rPr>
          <w:rFonts w:eastAsia="宋体"/>
          <w:lang w:val="en-GB" w:eastAsia="zh-CN"/>
        </w:rPr>
        <w:tab/>
      </w:r>
      <w:r>
        <w:rPr>
          <w:rFonts w:eastAsia="宋体"/>
          <w:lang w:val="en-GB" w:eastAsia="zh-CN"/>
        </w:rPr>
        <w:tab/>
      </w:r>
      <w:r>
        <w:rPr>
          <w:rFonts w:eastAsia="宋体"/>
          <w:lang w:val="en-GB" w:eastAsia="zh-CN"/>
        </w:rPr>
        <w:tab/>
        <w:t>Chicago, US</w:t>
      </w:r>
    </w:p>
    <w:p w:rsidR="00984ECA" w:rsidRDefault="00F16A75">
      <w:pPr>
        <w:spacing w:after="180"/>
        <w:rPr>
          <w:rFonts w:eastAsia="宋体"/>
          <w:lang w:val="en-US" w:eastAsia="zh-CN"/>
        </w:rPr>
      </w:pPr>
      <w:r>
        <w:rPr>
          <w:rFonts w:eastAsia="宋体"/>
          <w:lang w:val="en-GB" w:eastAsia="zh-CN"/>
        </w:rPr>
        <w:t xml:space="preserve">RAN1#116                </w:t>
      </w:r>
      <w:r>
        <w:rPr>
          <w:rFonts w:eastAsia="宋体" w:hint="eastAsia"/>
          <w:lang w:val="en-US" w:eastAsia="zh-CN"/>
        </w:rPr>
        <w:t xml:space="preserve">                       26 Feb </w:t>
      </w:r>
      <w:r>
        <w:rPr>
          <w:rFonts w:eastAsia="宋体"/>
          <w:lang w:val="en-GB" w:eastAsia="zh-CN"/>
        </w:rPr>
        <w:t>–</w:t>
      </w:r>
      <w:r>
        <w:rPr>
          <w:rFonts w:eastAsia="宋体" w:hint="eastAsia"/>
          <w:lang w:val="en-US" w:eastAsia="zh-CN"/>
        </w:rPr>
        <w:t xml:space="preserve"> 1 Mar 2024                           </w:t>
      </w:r>
      <w:bookmarkStart w:id="20" w:name="_GoBack"/>
      <w:bookmarkEnd w:id="20"/>
      <w:r>
        <w:rPr>
          <w:rFonts w:eastAsia="宋体" w:hint="eastAsia"/>
          <w:lang w:val="en-US" w:eastAsia="zh-CN"/>
        </w:rPr>
        <w:t xml:space="preserve">            Athens, GRE</w:t>
      </w:r>
    </w:p>
    <w:sectPr w:rsidR="00984EC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07076"/>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77B13"/>
    <w:rsid w:val="000807F9"/>
    <w:rsid w:val="00083D1D"/>
    <w:rsid w:val="00091FD1"/>
    <w:rsid w:val="00097271"/>
    <w:rsid w:val="000A10AE"/>
    <w:rsid w:val="000A5307"/>
    <w:rsid w:val="000A5D28"/>
    <w:rsid w:val="000B7B70"/>
    <w:rsid w:val="000C290F"/>
    <w:rsid w:val="000D3F7E"/>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000D"/>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A56"/>
    <w:rsid w:val="00361CE6"/>
    <w:rsid w:val="00371A1A"/>
    <w:rsid w:val="00375A54"/>
    <w:rsid w:val="003856A3"/>
    <w:rsid w:val="003867FB"/>
    <w:rsid w:val="00387EBE"/>
    <w:rsid w:val="00395703"/>
    <w:rsid w:val="003974D4"/>
    <w:rsid w:val="003A0B7C"/>
    <w:rsid w:val="003A309A"/>
    <w:rsid w:val="003A5CA3"/>
    <w:rsid w:val="003A5D95"/>
    <w:rsid w:val="003A6E55"/>
    <w:rsid w:val="003B28F1"/>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87158"/>
    <w:rsid w:val="0049129C"/>
    <w:rsid w:val="0049315E"/>
    <w:rsid w:val="0049341F"/>
    <w:rsid w:val="00493A7E"/>
    <w:rsid w:val="00493E63"/>
    <w:rsid w:val="004A0085"/>
    <w:rsid w:val="004A0545"/>
    <w:rsid w:val="004A0AB7"/>
    <w:rsid w:val="004A293F"/>
    <w:rsid w:val="004A31B6"/>
    <w:rsid w:val="004A6245"/>
    <w:rsid w:val="004A6DAF"/>
    <w:rsid w:val="004B0803"/>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15B"/>
    <w:rsid w:val="00544E28"/>
    <w:rsid w:val="00550A70"/>
    <w:rsid w:val="00553000"/>
    <w:rsid w:val="005538D7"/>
    <w:rsid w:val="00555B00"/>
    <w:rsid w:val="00567BA0"/>
    <w:rsid w:val="00572535"/>
    <w:rsid w:val="00574CB5"/>
    <w:rsid w:val="005838AB"/>
    <w:rsid w:val="00584B08"/>
    <w:rsid w:val="00586194"/>
    <w:rsid w:val="00586749"/>
    <w:rsid w:val="005909CA"/>
    <w:rsid w:val="00595688"/>
    <w:rsid w:val="005A230D"/>
    <w:rsid w:val="005B1091"/>
    <w:rsid w:val="005B49ED"/>
    <w:rsid w:val="005C38C8"/>
    <w:rsid w:val="005C3A20"/>
    <w:rsid w:val="005C577E"/>
    <w:rsid w:val="005C7B67"/>
    <w:rsid w:val="005D29CF"/>
    <w:rsid w:val="005D4DB0"/>
    <w:rsid w:val="005D6E90"/>
    <w:rsid w:val="005E340A"/>
    <w:rsid w:val="005E54CD"/>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91E"/>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1B4E"/>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2F4E"/>
    <w:rsid w:val="007C6853"/>
    <w:rsid w:val="007D15AC"/>
    <w:rsid w:val="007E2572"/>
    <w:rsid w:val="007E2F26"/>
    <w:rsid w:val="007E37DA"/>
    <w:rsid w:val="007E4CB3"/>
    <w:rsid w:val="007E6724"/>
    <w:rsid w:val="007E7500"/>
    <w:rsid w:val="007F54C1"/>
    <w:rsid w:val="007F6C8A"/>
    <w:rsid w:val="00812FA3"/>
    <w:rsid w:val="00816732"/>
    <w:rsid w:val="0081696D"/>
    <w:rsid w:val="00817A7E"/>
    <w:rsid w:val="00817D05"/>
    <w:rsid w:val="00822947"/>
    <w:rsid w:val="00827222"/>
    <w:rsid w:val="00832A65"/>
    <w:rsid w:val="00832F9F"/>
    <w:rsid w:val="008335BA"/>
    <w:rsid w:val="00834659"/>
    <w:rsid w:val="00834BD7"/>
    <w:rsid w:val="00834CF7"/>
    <w:rsid w:val="0084049C"/>
    <w:rsid w:val="00840950"/>
    <w:rsid w:val="00841710"/>
    <w:rsid w:val="00844354"/>
    <w:rsid w:val="0084436D"/>
    <w:rsid w:val="008510A7"/>
    <w:rsid w:val="0085215B"/>
    <w:rsid w:val="00852F46"/>
    <w:rsid w:val="008530A5"/>
    <w:rsid w:val="00854847"/>
    <w:rsid w:val="00855970"/>
    <w:rsid w:val="0085630E"/>
    <w:rsid w:val="00857D06"/>
    <w:rsid w:val="00861186"/>
    <w:rsid w:val="00865847"/>
    <w:rsid w:val="0086711C"/>
    <w:rsid w:val="00870256"/>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56A3F"/>
    <w:rsid w:val="00961000"/>
    <w:rsid w:val="00961B8C"/>
    <w:rsid w:val="00963043"/>
    <w:rsid w:val="009720CD"/>
    <w:rsid w:val="00975949"/>
    <w:rsid w:val="00980E2B"/>
    <w:rsid w:val="00984ECA"/>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21D3"/>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87E79"/>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26BF"/>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43D18"/>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359"/>
    <w:rsid w:val="00DA75CA"/>
    <w:rsid w:val="00DB5CE6"/>
    <w:rsid w:val="00DB666E"/>
    <w:rsid w:val="00DC0FE1"/>
    <w:rsid w:val="00DC180A"/>
    <w:rsid w:val="00DC2BB0"/>
    <w:rsid w:val="00DC6647"/>
    <w:rsid w:val="00DD0E5E"/>
    <w:rsid w:val="00DD3F7B"/>
    <w:rsid w:val="00DD59C6"/>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4835"/>
    <w:rsid w:val="00F07BCF"/>
    <w:rsid w:val="00F1297B"/>
    <w:rsid w:val="00F14C32"/>
    <w:rsid w:val="00F16A75"/>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0105"/>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0F4F113F"/>
    <w:rsid w:val="11E5888E"/>
    <w:rsid w:val="122E49FB"/>
    <w:rsid w:val="1CB1205B"/>
    <w:rsid w:val="25BB29CF"/>
    <w:rsid w:val="28691156"/>
    <w:rsid w:val="3FFA479A"/>
    <w:rsid w:val="44A64C69"/>
    <w:rsid w:val="50027B7A"/>
    <w:rsid w:val="59DF03AF"/>
    <w:rsid w:val="5C064C4D"/>
    <w:rsid w:val="631C9F20"/>
    <w:rsid w:val="64490B31"/>
    <w:rsid w:val="6C954932"/>
    <w:rsid w:val="70702621"/>
    <w:rsid w:val="711162B6"/>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50A9EA-35D3-44A7-9139-27344EE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imes New Roman"/>
      <w:lang w:val="en-IN"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link w:val="a8"/>
    <w:semiHidden/>
    <w:qFormat/>
    <w:rPr>
      <w:rFonts w:ascii="Arial" w:hAnsi="Arial" w:cs="Arial"/>
      <w:color w:val="FF0000"/>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
    <w:semiHidden/>
    <w:qFormat/>
    <w:pPr>
      <w:tabs>
        <w:tab w:val="center" w:pos="4153"/>
        <w:tab w:val="right" w:pos="8306"/>
      </w:tabs>
    </w:pPr>
  </w:style>
  <w:style w:type="paragraph" w:styleId="ac">
    <w:name w:val="header"/>
    <w:basedOn w:val="a"/>
    <w:link w:val="ad"/>
    <w:qFormat/>
    <w:pPr>
      <w:tabs>
        <w:tab w:val="center" w:pos="4153"/>
        <w:tab w:val="right" w:pos="8306"/>
      </w:tabs>
    </w:pPr>
  </w:style>
  <w:style w:type="paragraph" w:styleId="ae">
    <w:name w:val="Title"/>
    <w:basedOn w:val="a"/>
    <w:next w:val="a"/>
    <w:link w:val="af"/>
    <w:uiPriority w:val="10"/>
    <w:qFormat/>
    <w:pPr>
      <w:spacing w:before="240" w:after="60"/>
      <w:ind w:left="1701" w:hanging="1701"/>
      <w:outlineLvl w:val="0"/>
    </w:pPr>
    <w:rPr>
      <w:rFonts w:ascii="Arial" w:hAnsi="Arial" w:cs="Arial"/>
      <w:b/>
      <w:bCs/>
      <w:kern w:val="28"/>
    </w:rPr>
  </w:style>
  <w:style w:type="paragraph" w:styleId="af0">
    <w:name w:val="annotation subject"/>
    <w:basedOn w:val="a5"/>
    <w:next w:val="a5"/>
    <w:link w:val="af1"/>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basedOn w:val="a0"/>
    <w:uiPriority w:val="99"/>
    <w:unhideWhenUsed/>
    <w:qFormat/>
    <w:rPr>
      <w:color w:val="0000FF"/>
      <w:u w:val="single"/>
    </w:rPr>
  </w:style>
  <w:style w:type="character" w:styleId="af5">
    <w:name w:val="annotation reference"/>
    <w:semiHidden/>
    <w:qFormat/>
    <w:rPr>
      <w:sz w:val="16"/>
    </w:rPr>
  </w:style>
  <w:style w:type="character" w:customStyle="1" w:styleId="aa">
    <w:name w:val="批注框文本 字符"/>
    <w:link w:val="a9"/>
    <w:uiPriority w:val="99"/>
    <w:semiHidden/>
    <w:qFormat/>
    <w:rPr>
      <w:rFonts w:ascii="Tahoma" w:hAnsi="Tahoma" w:cs="Tahoma"/>
      <w:sz w:val="16"/>
      <w:szCs w:val="16"/>
      <w:lang w:val="en-GB"/>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正文文本 字符"/>
    <w:link w:val="a7"/>
    <w:semiHidden/>
    <w:qFormat/>
    <w:rPr>
      <w:rFonts w:ascii="Arial" w:hAnsi="Arial" w:cs="Arial"/>
      <w:color w:val="FF0000"/>
      <w:lang w:eastAsia="en-US"/>
    </w:rPr>
  </w:style>
  <w:style w:type="character" w:customStyle="1" w:styleId="a6">
    <w:name w:val="批注文字 字符"/>
    <w:link w:val="a5"/>
    <w:semiHidden/>
    <w:qFormat/>
    <w:rPr>
      <w:rFonts w:ascii="Arial" w:hAnsi="Arial"/>
      <w:lang w:eastAsia="en-US"/>
    </w:rPr>
  </w:style>
  <w:style w:type="character" w:customStyle="1" w:styleId="af">
    <w:name w:val="标题 字符"/>
    <w:link w:val="ae"/>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d">
    <w:name w:val="页眉 字符"/>
    <w:basedOn w:val="a0"/>
    <w:link w:val="ac"/>
    <w:qFormat/>
    <w:locked/>
    <w:rPr>
      <w:lang w:val="en-GB" w:eastAsia="en-US"/>
    </w:rPr>
  </w:style>
  <w:style w:type="paragraph" w:styleId="af7">
    <w:name w:val="List Paragraph"/>
    <w:basedOn w:val="a"/>
    <w:uiPriority w:val="34"/>
    <w:qFormat/>
    <w:pPr>
      <w:overflowPunct w:val="0"/>
      <w:autoSpaceDE w:val="0"/>
      <w:autoSpaceDN w:val="0"/>
      <w:adjustRightInd w:val="0"/>
      <w:spacing w:after="180"/>
      <w:ind w:left="720"/>
      <w:contextualSpacing/>
    </w:pPr>
  </w:style>
  <w:style w:type="character" w:customStyle="1" w:styleId="af1">
    <w:name w:val="批注主题 字符"/>
    <w:basedOn w:val="a6"/>
    <w:link w:val="af0"/>
    <w:uiPriority w:val="99"/>
    <w:semiHidden/>
    <w:qFormat/>
    <w:rPr>
      <w:rFonts w:ascii="Arial" w:hAnsi="Arial"/>
      <w:b/>
      <w:bCs/>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Pr>
      <w:rFonts w:ascii="Arial" w:eastAsia="Times New Roman" w:hAnsi="Arial"/>
      <w:lang w:val="en-IN" w:eastAsia="en-US"/>
    </w:rPr>
  </w:style>
  <w:style w:type="character" w:customStyle="1" w:styleId="NOZchn">
    <w:name w:val="NO Zchn"/>
    <w:link w:val="NO"/>
    <w:qFormat/>
    <w:rPr>
      <w:rFonts w:eastAsia="Malgun Gothic"/>
      <w:color w:val="000000"/>
      <w:lang w:val="en-GB" w:eastAsia="ja-JP"/>
    </w:rPr>
  </w:style>
  <w:style w:type="paragraph" w:customStyle="1" w:styleId="10">
    <w:name w:val="修订1"/>
    <w:hidden/>
    <w:uiPriority w:val="99"/>
    <w:semiHidden/>
    <w:qFormat/>
    <w:rPr>
      <w:rFonts w:eastAsia="Times New Roman"/>
      <w:lang w:val="en-IN" w:eastAsia="en-US"/>
    </w:rPr>
  </w:style>
  <w:style w:type="character" w:customStyle="1" w:styleId="a4">
    <w:name w:val="文档结构图 字符"/>
    <w:basedOn w:val="a0"/>
    <w:link w:val="a3"/>
    <w:uiPriority w:val="99"/>
    <w:semiHidden/>
    <w:qFormat/>
    <w:rPr>
      <w:rFonts w:ascii="宋体" w:eastAsia="宋体"/>
      <w:sz w:val="18"/>
      <w:szCs w:val="18"/>
      <w:lang w:val="en-IN" w:eastAsia="en-US"/>
    </w:rPr>
  </w:style>
  <w:style w:type="paragraph" w:customStyle="1" w:styleId="EditorsNote">
    <w:name w:val="Editor's Note"/>
    <w:basedOn w:val="NO"/>
    <w:link w:val="EditorsNoteChar"/>
    <w:qFormat/>
    <w:pPr>
      <w:ind w:left="1560" w:hanging="1276"/>
    </w:pPr>
    <w:rPr>
      <w:rFonts w:eastAsia="Times New Roman"/>
      <w:color w:val="FF0000"/>
      <w:lang w:eastAsia="en-GB"/>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B2">
    <w:name w:val="B2"/>
    <w:basedOn w:val="a"/>
    <w:qFormat/>
    <w:pPr>
      <w:ind w:left="851" w:hanging="284"/>
    </w:pPr>
    <w:rPr>
      <w:lang w:val="zh-CN"/>
    </w:rPr>
  </w:style>
  <w:style w:type="paragraph" w:customStyle="1" w:styleId="B3">
    <w:name w:val="B3"/>
    <w:basedOn w:val="a"/>
    <w:qFormat/>
    <w:pPr>
      <w:ind w:left="1135"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554</Words>
  <Characters>3160</Characters>
  <Application>Microsoft Office Word</Application>
  <DocSecurity>0</DocSecurity>
  <Lines>26</Lines>
  <Paragraphs>7</Paragraphs>
  <ScaleCrop>false</ScaleCrop>
  <Company>ETSI Sophia Antipolis</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Mengzhu,2</cp:lastModifiedBy>
  <cp:revision>10</cp:revision>
  <cp:lastPrinted>2002-04-22T23:10:00Z</cp:lastPrinted>
  <dcterms:created xsi:type="dcterms:W3CDTF">2022-11-04T06:44:00Z</dcterms:created>
  <dcterms:modified xsi:type="dcterms:W3CDTF">2023-09-29T12:43:00Z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y fmtid="{D5CDD505-2E9C-101B-9397-08002B2CF9AE}" pid="11" name="KSOProductBuildVer">
    <vt:lpwstr>2052-11.8.2.12085</vt:lpwstr>
  </property>
  <property fmtid="{D5CDD505-2E9C-101B-9397-08002B2CF9AE}" pid="12" name="ICV">
    <vt:lpwstr>9637E3771BF7401BA8D4FA1CFBF9B68D</vt:lpwstr>
  </property>
</Properties>
</file>